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3E9B" w14:textId="6D7D7052" w:rsidR="00393733" w:rsidRDefault="00991CEE" w:rsidP="00393733">
      <w:pPr>
        <w:shd w:val="clear" w:color="auto" w:fill="FFFFFF"/>
        <w:spacing w:after="0" w:line="235" w:lineRule="atLeast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AR"/>
        </w:rPr>
        <w:t>Buenos Aires, 2</w:t>
      </w:r>
      <w:r w:rsidR="00B35C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AR"/>
        </w:rPr>
        <w:t>2</w:t>
      </w:r>
      <w:r w:rsidR="00393733" w:rsidRPr="0039373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AR"/>
        </w:rPr>
        <w:t xml:space="preserve"> de septiembre de 2020 </w:t>
      </w:r>
    </w:p>
    <w:p w14:paraId="1A1CA205" w14:textId="77777777" w:rsidR="00011022" w:rsidRPr="00393733" w:rsidRDefault="00011022" w:rsidP="0039373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AR"/>
        </w:rPr>
      </w:pPr>
    </w:p>
    <w:p w14:paraId="578047E5" w14:textId="77777777" w:rsidR="00EA017D" w:rsidRDefault="00EA017D" w:rsidP="00393733">
      <w:pPr>
        <w:shd w:val="clear" w:color="auto" w:fill="FFFFFF"/>
        <w:spacing w:after="0" w:line="235" w:lineRule="atLeast"/>
        <w:rPr>
          <w:rFonts w:ascii="inherit" w:eastAsia="Times New Roman" w:hAnsi="inherit" w:cs="Calibr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es-AR"/>
        </w:rPr>
      </w:pPr>
    </w:p>
    <w:p w14:paraId="6F53113A" w14:textId="77777777" w:rsidR="00393733" w:rsidRDefault="00393733" w:rsidP="00393733">
      <w:pPr>
        <w:shd w:val="clear" w:color="auto" w:fill="FFFFFF"/>
        <w:spacing w:after="0" w:line="235" w:lineRule="atLeast"/>
        <w:rPr>
          <w:rFonts w:ascii="inherit" w:eastAsia="Times New Roman" w:hAnsi="inherit" w:cs="Calibr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es-AR"/>
        </w:rPr>
      </w:pPr>
      <w:r w:rsidRPr="00393733">
        <w:rPr>
          <w:rFonts w:ascii="inherit" w:eastAsia="Times New Roman" w:hAnsi="inherit" w:cs="Calibr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es-AR"/>
        </w:rPr>
        <w:t>A toda la comunidad del Centro de Graduados del Liceo Naval </w:t>
      </w:r>
    </w:p>
    <w:p w14:paraId="60C8D3A2" w14:textId="77777777" w:rsidR="00011022" w:rsidRPr="00393733" w:rsidRDefault="00011022" w:rsidP="0039373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AR"/>
        </w:rPr>
      </w:pPr>
    </w:p>
    <w:p w14:paraId="136BC78B" w14:textId="77777777" w:rsidR="00393733" w:rsidRDefault="00393733" w:rsidP="00393733">
      <w:pPr>
        <w:shd w:val="clear" w:color="auto" w:fill="FFFFFF"/>
        <w:spacing w:after="0" w:line="235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s-AR"/>
        </w:rPr>
      </w:pPr>
      <w:r w:rsidRPr="00393733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s-AR"/>
        </w:rPr>
        <w:t>Referencia: Controversia con la Universidad de Buenos Aires relacionada con la disponibilidad de los terrenos en los cuales el Centro de Graduados asienta sus actividades. </w:t>
      </w:r>
    </w:p>
    <w:p w14:paraId="28D2E33C" w14:textId="77777777" w:rsidR="00EA017D" w:rsidRPr="00393733" w:rsidRDefault="00EA017D" w:rsidP="0039373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AR"/>
        </w:rPr>
      </w:pPr>
    </w:p>
    <w:p w14:paraId="3D643011" w14:textId="5F23FD47" w:rsidR="00991CEE" w:rsidRDefault="00991CEE" w:rsidP="00393733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Continuando con nuestra nota informativa del día 19 del 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corriente</w:t>
      </w:r>
      <w:r w:rsidR="009B21EC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tenemos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el agrado de poner en conocimiento de todos que la Cámara de Apelaciones</w:t>
      </w:r>
      <w:r w:rsidR="00B35CF0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 en el día de la fecha,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confirmó la medida cautelar por la cual el Juez de Primera Instancia había ordenado la suspensión del desalojo 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y </w:t>
      </w:r>
      <w:r w:rsidR="0007435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que</w:t>
      </w:r>
      <w:r w:rsidR="009B21EC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 w:rsidR="0007435E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a la vez</w:t>
      </w:r>
      <w:r w:rsidR="009B21EC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redujo el valor de la contra-cautela de $ 4,360.000 a $ 1.200.000 mensuales.</w:t>
      </w:r>
    </w:p>
    <w:p w14:paraId="4794C9A7" w14:textId="77777777" w:rsidR="00991CEE" w:rsidRDefault="00991CEE" w:rsidP="00393733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3208DE77" w14:textId="082F100E" w:rsidR="00991CEE" w:rsidRDefault="009B21EC" w:rsidP="00393733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Para mejor entendim</w:t>
      </w:r>
      <w:r w:rsidR="00603937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i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ento, b</w:t>
      </w:r>
      <w:r w:rsidR="00991CE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revement</w:t>
      </w:r>
      <w:r w:rsidR="00CD43FF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e</w:t>
      </w:r>
      <w:r w:rsidR="0007435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, este es el </w:t>
      </w:r>
      <w:r w:rsidR="00991CE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fallo</w:t>
      </w:r>
      <w:r w:rsidR="00991CEE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para el Centro de Graduados:</w:t>
      </w:r>
    </w:p>
    <w:p w14:paraId="194B4A0F" w14:textId="669B9DDA" w:rsidR="00991CEE" w:rsidRDefault="00991CEE" w:rsidP="00991CEE">
      <w:pPr>
        <w:pStyle w:val="Prrafodelista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Se ratificó  que existe cierto grado de verosimilitud en los argumentos </w:t>
      </w:r>
      <w:r w:rsidR="0007435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esgrimidos</w:t>
      </w:r>
      <w:r w:rsidR="0007435E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por el CGLNM</w:t>
      </w:r>
      <w:r w:rsid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con respecto a la titularidad de los terrenos ganados al río y mejoras materializa</w:t>
      </w:r>
      <w:r w:rsidR="00CA25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da</w:t>
      </w:r>
      <w:bookmarkStart w:id="0" w:name="_GoBack"/>
      <w:bookmarkEnd w:id="0"/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s en el predio.</w:t>
      </w:r>
    </w:p>
    <w:p w14:paraId="7864D838" w14:textId="3D2E3469" w:rsidR="00991CEE" w:rsidRDefault="00991CEE" w:rsidP="00991CEE">
      <w:pPr>
        <w:pStyle w:val="Prrafodelista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En función de 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ello</w:t>
      </w:r>
      <w:r w:rsidR="0007435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se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confirmó la medida 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cautelar </w:t>
      </w:r>
      <w:r w:rsidR="0007435E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que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, en principio, tiene una vigencia de 6 meses 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y </w:t>
      </w:r>
      <w:r w:rsidR="001418E1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que </w:t>
      </w:r>
      <w:r w:rsidR="00365504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podrá</w:t>
      </w:r>
      <w:r w:rsidR="00365504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extenderse en la medida que se mantenga activo el juicio en el cual se dilucida la legitimidad de la Universidad de Buenos Aires para ordenar el desalojo del predio.</w:t>
      </w:r>
    </w:p>
    <w:p w14:paraId="4FC7D414" w14:textId="77777777" w:rsidR="00365504" w:rsidRDefault="005E07AC" w:rsidP="00991CEE">
      <w:pPr>
        <w:pStyle w:val="Prrafodelista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Se aceptó parcialmente el pedido interpuesto por el CGLNM para que se reduzca el depósito mensual – en concepto de garantía- a la suma $ 1.200.000.  Es importante señalar que las sumas depositadas configuran un depósito en garantía, su destino final dependerá del resultado del juicio.</w:t>
      </w:r>
    </w:p>
    <w:p w14:paraId="401FE74C" w14:textId="77777777" w:rsidR="006A5181" w:rsidRDefault="006A5181" w:rsidP="006A5181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22F914E5" w14:textId="696AFBAD" w:rsidR="006A5181" w:rsidRDefault="006A5181" w:rsidP="006A5181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Consecuencias de este  fallo de la Cámara de Apelaciones para el CGLN</w:t>
      </w:r>
      <w:r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M</w:t>
      </w:r>
      <w:r w:rsidR="009B21EC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:</w:t>
      </w:r>
    </w:p>
    <w:p w14:paraId="48A35734" w14:textId="77777777" w:rsidR="006A5181" w:rsidRDefault="006A5181" w:rsidP="006A5181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3D5540B4" w14:textId="443D777F" w:rsidR="006A5181" w:rsidRDefault="006A5181" w:rsidP="006A5181">
      <w:pPr>
        <w:pStyle w:val="Prrafodelista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En lo inmediato</w:t>
      </w:r>
      <w:r w:rsidR="001418E1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y en la medida que se deposite la garantía referida previamente</w:t>
      </w:r>
      <w:r w:rsidR="001418E1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,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ha desaparecido el peligro de ser obligados a desalojar el predio.</w:t>
      </w:r>
    </w:p>
    <w:p w14:paraId="0AA018EE" w14:textId="77777777" w:rsidR="006A5181" w:rsidRDefault="006A5181" w:rsidP="006A5181">
      <w:pPr>
        <w:pStyle w:val="Prrafodelista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El CGLNM deberá ajustar sus ingresos y egresos para poder depositar mensualmente la suma fijada por la Cámara de Apelaciones.</w:t>
      </w:r>
    </w:p>
    <w:p w14:paraId="3AE90647" w14:textId="46D187A1" w:rsidR="006A5181" w:rsidRDefault="006A5181" w:rsidP="006A5181">
      <w:pPr>
        <w:pStyle w:val="Prrafodelista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Se ha creado un espacio temporal para abrir un diálogo con todos los actores involucrados  - posición que siempre  hemos sustentado- </w:t>
      </w:r>
      <w:r w:rsidR="005F705A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a los fines de encontrar una solución integral </w:t>
      </w:r>
      <w:r w:rsidR="005F705A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que</w:t>
      </w:r>
      <w:r w:rsidR="001418E1" w:rsidRP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 w:rsid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</w:t>
      </w:r>
      <w:r w:rsidR="005F705A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con equilibrio</w:t>
      </w:r>
      <w:r w:rsidR="00CD43F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 w:rsidR="005F705A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contemple los intereses de todos.  Por medio del intercambio creativo de ideas y proyectos confiamos que una solución  será encontrada.  El conflicto no es el camino.</w:t>
      </w:r>
    </w:p>
    <w:p w14:paraId="18A2A4E4" w14:textId="77777777" w:rsidR="005F705A" w:rsidRPr="003B47F4" w:rsidRDefault="005F705A" w:rsidP="005F705A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329C832A" w14:textId="0C6D9807" w:rsidR="005F705A" w:rsidRDefault="003B47F4" w:rsidP="005F705A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 w:rsidRPr="003B47F4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Finalmente, a partir de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distintas</w:t>
      </w:r>
      <w:r w:rsidRPr="003B47F4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consulta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s</w:t>
      </w:r>
      <w:r w:rsidRPr="003B47F4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que nos han hecho llegar sobre las actuaciones judiciales llevadas adelante en el diferendo con la Universidad de Buenos Aires, pueden </w:t>
      </w:r>
      <w:r w:rsidR="00293998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accederse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</w:t>
      </w:r>
      <w:r w:rsidR="0048591C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al trámite procesal 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a través del portal del Poder Judicial de la Nación (</w:t>
      </w:r>
      <w:r w:rsidRPr="003B47F4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http://scw.pjn.gov.ar/scw/home.seam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)</w:t>
      </w:r>
    </w:p>
    <w:p w14:paraId="18E79DC0" w14:textId="5AC89E8F" w:rsidR="003B47F4" w:rsidRDefault="003B47F4" w:rsidP="005F705A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30E22344" w14:textId="77777777" w:rsidR="003B47F4" w:rsidRPr="003B47F4" w:rsidRDefault="003B47F4" w:rsidP="003B47F4">
      <w:pPr>
        <w:spacing w:after="0" w:line="240" w:lineRule="auto"/>
        <w:jc w:val="both"/>
        <w:rPr>
          <w:rFonts w:ascii="Arial" w:hAnsi="Arial" w:cs="Arial"/>
          <w:bCs/>
          <w:i/>
          <w:lang w:eastAsia="es-AR"/>
        </w:rPr>
      </w:pPr>
      <w:r>
        <w:rPr>
          <w:rFonts w:ascii="Arial" w:hAnsi="Arial" w:cs="Arial"/>
          <w:bCs/>
          <w:i/>
          <w:lang w:eastAsia="es-AR"/>
        </w:rPr>
        <w:t xml:space="preserve">Expediente </w:t>
      </w:r>
      <w:r w:rsidRPr="003B47F4">
        <w:rPr>
          <w:rFonts w:ascii="Arial" w:hAnsi="Arial" w:cs="Arial"/>
          <w:bCs/>
          <w:i/>
          <w:lang w:eastAsia="es-AR"/>
        </w:rPr>
        <w:t>CAF 036767/2019</w:t>
      </w:r>
    </w:p>
    <w:p w14:paraId="6C4F3F3E" w14:textId="3EC5C930" w:rsidR="003B47F4" w:rsidRDefault="003B47F4" w:rsidP="003B47F4">
      <w:pPr>
        <w:spacing w:after="0" w:line="240" w:lineRule="auto"/>
        <w:jc w:val="both"/>
        <w:rPr>
          <w:rFonts w:ascii="Arial" w:hAnsi="Arial" w:cs="Arial"/>
          <w:bCs/>
          <w:i/>
          <w:lang w:eastAsia="es-AR"/>
        </w:rPr>
      </w:pPr>
      <w:r w:rsidRPr="003B47F4">
        <w:rPr>
          <w:rFonts w:ascii="Arial" w:hAnsi="Arial" w:cs="Arial"/>
          <w:bCs/>
          <w:i/>
          <w:lang w:eastAsia="es-AR"/>
        </w:rPr>
        <w:t xml:space="preserve">UNIVERSIDAD DE BUENOS AIRES C/ CENTRO DE GRADUADOS DEL LICEO NAVAL ALMIRANTE GUILLERMO BROWN S/LANZAMIENTO LEY 17.091 </w:t>
      </w:r>
    </w:p>
    <w:p w14:paraId="567E15B2" w14:textId="01900303" w:rsidR="003B47F4" w:rsidRDefault="003B47F4" w:rsidP="003B47F4">
      <w:pPr>
        <w:jc w:val="both"/>
        <w:rPr>
          <w:rFonts w:ascii="Arial" w:hAnsi="Arial" w:cs="Arial"/>
          <w:bCs/>
          <w:i/>
          <w:lang w:eastAsia="es-AR"/>
        </w:rPr>
      </w:pPr>
    </w:p>
    <w:p w14:paraId="0CD04656" w14:textId="5EDD31B8" w:rsidR="003B47F4" w:rsidRPr="003B47F4" w:rsidRDefault="003B47F4" w:rsidP="003B47F4">
      <w:pPr>
        <w:spacing w:after="0"/>
        <w:jc w:val="both"/>
        <w:rPr>
          <w:rFonts w:ascii="Arial" w:hAnsi="Arial" w:cs="Arial"/>
          <w:bCs/>
          <w:i/>
          <w:lang w:eastAsia="es-AR"/>
        </w:rPr>
      </w:pPr>
      <w:r>
        <w:rPr>
          <w:rFonts w:ascii="Arial" w:hAnsi="Arial" w:cs="Arial"/>
          <w:bCs/>
          <w:i/>
          <w:lang w:eastAsia="es-AR"/>
        </w:rPr>
        <w:t xml:space="preserve">Expediente CAF </w:t>
      </w:r>
      <w:r w:rsidRPr="003B47F4">
        <w:rPr>
          <w:rFonts w:ascii="Arial" w:hAnsi="Arial" w:cs="Arial"/>
          <w:bCs/>
          <w:i/>
          <w:lang w:eastAsia="es-AR"/>
        </w:rPr>
        <w:t>046224/2019</w:t>
      </w:r>
    </w:p>
    <w:p w14:paraId="318DD8F6" w14:textId="77777777" w:rsidR="003B47F4" w:rsidRPr="003B47F4" w:rsidRDefault="003B47F4" w:rsidP="003B47F4">
      <w:pPr>
        <w:spacing w:after="0" w:line="240" w:lineRule="auto"/>
        <w:jc w:val="both"/>
        <w:rPr>
          <w:rFonts w:ascii="Arial" w:hAnsi="Arial" w:cs="Arial"/>
          <w:bCs/>
          <w:i/>
          <w:lang w:eastAsia="es-AR"/>
        </w:rPr>
      </w:pPr>
      <w:r w:rsidRPr="003B47F4">
        <w:rPr>
          <w:rFonts w:ascii="Arial" w:hAnsi="Arial" w:cs="Arial"/>
          <w:bCs/>
          <w:i/>
          <w:lang w:eastAsia="es-AR"/>
        </w:rPr>
        <w:t>CENTRO DE GRADUADOS DEL LICEO NAVAL MILITAR ALTE GUILLERMO BROWN C/ UBA S/MEDIDA CAUTELAR CAF 046224/2019),</w:t>
      </w:r>
    </w:p>
    <w:p w14:paraId="336D6D13" w14:textId="4D8FB2CA" w:rsidR="003B47F4" w:rsidRDefault="003B47F4" w:rsidP="003B47F4">
      <w:pPr>
        <w:jc w:val="both"/>
        <w:rPr>
          <w:rFonts w:ascii="Arial" w:hAnsi="Arial" w:cs="Arial"/>
          <w:bCs/>
          <w:i/>
          <w:lang w:eastAsia="es-AR"/>
        </w:rPr>
      </w:pPr>
    </w:p>
    <w:p w14:paraId="1CCACBC6" w14:textId="177B9668" w:rsidR="003B47F4" w:rsidRPr="003B47F4" w:rsidRDefault="003B47F4" w:rsidP="003B47F4">
      <w:pPr>
        <w:spacing w:after="0"/>
        <w:jc w:val="both"/>
        <w:rPr>
          <w:rFonts w:ascii="Arial" w:hAnsi="Arial" w:cs="Arial"/>
          <w:bCs/>
          <w:i/>
          <w:lang w:eastAsia="es-AR"/>
        </w:rPr>
      </w:pPr>
      <w:r>
        <w:rPr>
          <w:rFonts w:ascii="Arial" w:hAnsi="Arial" w:cs="Arial"/>
          <w:bCs/>
          <w:i/>
          <w:lang w:eastAsia="es-AR"/>
        </w:rPr>
        <w:t>Expediente CAF 063157/2019</w:t>
      </w:r>
    </w:p>
    <w:p w14:paraId="2BB7E4C9" w14:textId="542EABCA" w:rsidR="003B47F4" w:rsidRDefault="003B47F4" w:rsidP="003B47F4">
      <w:pPr>
        <w:spacing w:after="0" w:line="240" w:lineRule="auto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 w:rsidRPr="003B47F4">
        <w:rPr>
          <w:rFonts w:ascii="Arial" w:hAnsi="Arial" w:cs="Arial"/>
          <w:bCs/>
          <w:i/>
          <w:lang w:eastAsia="es-AR"/>
        </w:rPr>
        <w:t xml:space="preserve">CENTRO DE GRADUADOS DEL LICEO NAVAL MILITAR 'ALTE GUILLERMO BROWN' C/ UBA S/RECURSO DIRECTO DE ORGANISMO EXTERNO </w:t>
      </w:r>
    </w:p>
    <w:p w14:paraId="0C24F30C" w14:textId="77777777" w:rsidR="003B47F4" w:rsidRPr="003B47F4" w:rsidRDefault="003B47F4" w:rsidP="005F705A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3960AEE9" w14:textId="0233D974" w:rsidR="005F705A" w:rsidRPr="005F705A" w:rsidRDefault="005F705A" w:rsidP="005F705A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Agradecemos a toda la comunidad que conforma Centro de Graduados</w:t>
      </w:r>
      <w:r w:rsidR="003B47F4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>,</w:t>
      </w:r>
      <w:r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  <w:t xml:space="preserve"> su apoyo y compromiso con la institución. </w:t>
      </w:r>
    </w:p>
    <w:p w14:paraId="4D22F384" w14:textId="77777777" w:rsidR="005F705A" w:rsidRPr="005F705A" w:rsidRDefault="005F705A" w:rsidP="005F705A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50E4E4BF" w14:textId="77777777" w:rsidR="006A5181" w:rsidRPr="006A5181" w:rsidRDefault="006A5181" w:rsidP="006A5181">
      <w:pPr>
        <w:shd w:val="clear" w:color="auto" w:fill="FFFFFF"/>
        <w:spacing w:after="0" w:line="235" w:lineRule="atLeast"/>
        <w:jc w:val="both"/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s-AR"/>
        </w:rPr>
      </w:pPr>
    </w:p>
    <w:p w14:paraId="78284C66" w14:textId="77777777" w:rsidR="00393733" w:rsidRDefault="00393733" w:rsidP="0039373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07DD2A" w14:textId="636E0DAC" w:rsidR="00393733" w:rsidRDefault="00393733" w:rsidP="0039373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i/>
          <w:iCs/>
          <w:color w:val="000000"/>
          <w:sz w:val="28"/>
          <w:szCs w:val="28"/>
          <w:bdr w:val="none" w:sz="0" w:space="0" w:color="auto" w:frame="1"/>
        </w:rPr>
        <w:t>Comisión Directiva del  </w:t>
      </w:r>
    </w:p>
    <w:p w14:paraId="71BC74B0" w14:textId="77777777" w:rsidR="00393733" w:rsidRDefault="00393733" w:rsidP="0039373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i/>
          <w:iCs/>
          <w:color w:val="000000"/>
          <w:sz w:val="28"/>
          <w:szCs w:val="28"/>
          <w:bdr w:val="none" w:sz="0" w:space="0" w:color="auto" w:frame="1"/>
        </w:rPr>
        <w:t>Centro de Graduados del Liceo Naval  </w:t>
      </w:r>
    </w:p>
    <w:p w14:paraId="65D57B5F" w14:textId="77777777" w:rsidR="00393733" w:rsidRDefault="00393733" w:rsidP="00393733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9EADA08" w14:textId="77777777" w:rsidR="00393733" w:rsidRPr="00393733" w:rsidRDefault="00393733" w:rsidP="00393733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es-AR"/>
        </w:rPr>
      </w:pPr>
    </w:p>
    <w:sectPr w:rsidR="00393733" w:rsidRPr="00393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259"/>
    <w:multiLevelType w:val="hybridMultilevel"/>
    <w:tmpl w:val="B07862AC"/>
    <w:lvl w:ilvl="0" w:tplc="95BE10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7AD"/>
    <w:multiLevelType w:val="hybridMultilevel"/>
    <w:tmpl w:val="CA4A10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3"/>
    <w:rsid w:val="00011022"/>
    <w:rsid w:val="0007435E"/>
    <w:rsid w:val="001418E1"/>
    <w:rsid w:val="00162BB1"/>
    <w:rsid w:val="00293998"/>
    <w:rsid w:val="00365504"/>
    <w:rsid w:val="0037115F"/>
    <w:rsid w:val="00393733"/>
    <w:rsid w:val="003B47F4"/>
    <w:rsid w:val="00433CE1"/>
    <w:rsid w:val="0048591C"/>
    <w:rsid w:val="005E07AC"/>
    <w:rsid w:val="005F705A"/>
    <w:rsid w:val="00603937"/>
    <w:rsid w:val="006A5181"/>
    <w:rsid w:val="00991CEE"/>
    <w:rsid w:val="009B21EC"/>
    <w:rsid w:val="00B2685A"/>
    <w:rsid w:val="00B35CF0"/>
    <w:rsid w:val="00C63ABD"/>
    <w:rsid w:val="00CA25FF"/>
    <w:rsid w:val="00CD43FF"/>
    <w:rsid w:val="00E05FBC"/>
    <w:rsid w:val="00EA017D"/>
    <w:rsid w:val="00E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D1C5D"/>
  <w15:chartTrackingRefBased/>
  <w15:docId w15:val="{3008AE8D-A3AE-48D0-8BB3-5D74A229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9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JuanPablo</cp:lastModifiedBy>
  <cp:revision>2</cp:revision>
  <dcterms:created xsi:type="dcterms:W3CDTF">2020-09-23T15:50:00Z</dcterms:created>
  <dcterms:modified xsi:type="dcterms:W3CDTF">2020-09-23T15:50:00Z</dcterms:modified>
</cp:coreProperties>
</file>